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ED183" w14:textId="77777777" w:rsidR="005215DD" w:rsidRDefault="005215DD" w:rsidP="00F25F50">
      <w:pPr>
        <w:tabs>
          <w:tab w:val="left" w:pos="4575"/>
        </w:tabs>
        <w:jc w:val="center"/>
        <w:rPr>
          <w:rFonts w:asciiTheme="minorHAnsi" w:hAnsiTheme="minorHAnsi"/>
          <w:b/>
          <w:caps/>
          <w:sz w:val="22"/>
          <w:szCs w:val="22"/>
        </w:rPr>
      </w:pPr>
    </w:p>
    <w:p w14:paraId="78B518DA" w14:textId="0694931A" w:rsidR="00F25F50" w:rsidRDefault="00F25F50" w:rsidP="00F25F50">
      <w:pPr>
        <w:tabs>
          <w:tab w:val="left" w:pos="4575"/>
        </w:tabs>
        <w:jc w:val="center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</w:rPr>
        <w:t>Nevada Volunteers</w:t>
      </w:r>
    </w:p>
    <w:p w14:paraId="56875190" w14:textId="4722B3CD" w:rsidR="00F25F50" w:rsidRPr="00CB2CDC" w:rsidRDefault="00F25F50" w:rsidP="00F25F50">
      <w:pPr>
        <w:tabs>
          <w:tab w:val="left" w:pos="4575"/>
        </w:tabs>
        <w:jc w:val="center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</w:rPr>
        <w:t>Living Allowance Distribution</w:t>
      </w:r>
      <w:r w:rsidR="00514293">
        <w:rPr>
          <w:rFonts w:asciiTheme="minorHAnsi" w:hAnsiTheme="minorHAnsi"/>
          <w:b/>
          <w:caps/>
          <w:sz w:val="22"/>
          <w:szCs w:val="22"/>
        </w:rPr>
        <w:t xml:space="preserve"> POLIcy</w:t>
      </w:r>
    </w:p>
    <w:p w14:paraId="2050F095" w14:textId="77777777" w:rsidR="00F25F50" w:rsidRDefault="00F25F50" w:rsidP="00F25F50">
      <w:pPr>
        <w:rPr>
          <w:rFonts w:asciiTheme="minorHAnsi" w:hAnsiTheme="minorHAnsi"/>
          <w:sz w:val="22"/>
          <w:szCs w:val="22"/>
        </w:rPr>
      </w:pPr>
    </w:p>
    <w:p w14:paraId="5C2A53DA" w14:textId="77777777" w:rsidR="00F25F50" w:rsidRPr="00CB2CDC" w:rsidRDefault="00F25F50" w:rsidP="00F25F50">
      <w:pPr>
        <w:shd w:val="clear" w:color="auto" w:fill="E6E6E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Overview</w:t>
      </w:r>
    </w:p>
    <w:p w14:paraId="5EDFB639" w14:textId="77777777" w:rsidR="00F25F50" w:rsidRDefault="00F25F50" w:rsidP="00F25F50">
      <w:pPr>
        <w:rPr>
          <w:rFonts w:asciiTheme="minorHAnsi" w:hAnsiTheme="minorHAnsi"/>
          <w:b/>
        </w:rPr>
      </w:pPr>
    </w:p>
    <w:p w14:paraId="475E955A" w14:textId="1958A8D3" w:rsidR="00F25F50" w:rsidRPr="00501DEA" w:rsidRDefault="00F25F50" w:rsidP="00F25F5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This document is intended to outline the rules and federal requirements of distributing living allowance</w:t>
      </w:r>
      <w:r w:rsidR="00514293">
        <w:rPr>
          <w:rFonts w:asciiTheme="minorHAnsi" w:hAnsiTheme="minorHAnsi"/>
          <w:sz w:val="22"/>
        </w:rPr>
        <w:t>s</w:t>
      </w:r>
      <w:r>
        <w:rPr>
          <w:rFonts w:asciiTheme="minorHAnsi" w:hAnsiTheme="minorHAnsi"/>
          <w:sz w:val="22"/>
        </w:rPr>
        <w:t xml:space="preserve"> for AmeriCorps programs. </w:t>
      </w:r>
    </w:p>
    <w:p w14:paraId="12948613" w14:textId="77777777" w:rsidR="00F25F50" w:rsidRDefault="00F25F50" w:rsidP="00F25F50">
      <w:pPr>
        <w:rPr>
          <w:rFonts w:asciiTheme="minorHAnsi" w:hAnsiTheme="minorHAnsi"/>
        </w:rPr>
      </w:pPr>
    </w:p>
    <w:p w14:paraId="66E83B5A" w14:textId="77777777" w:rsidR="00F25F50" w:rsidRPr="00CB2CDC" w:rsidRDefault="00F25F50" w:rsidP="00F25F50">
      <w:pPr>
        <w:shd w:val="clear" w:color="auto" w:fill="E6E6E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Distribution Guidelines</w:t>
      </w:r>
    </w:p>
    <w:p w14:paraId="7639CB3A" w14:textId="77777777" w:rsidR="00F25F50" w:rsidRPr="00CB2CDC" w:rsidRDefault="00F25F50" w:rsidP="00F25F50">
      <w:pPr>
        <w:rPr>
          <w:rFonts w:asciiTheme="minorHAnsi" w:hAnsiTheme="minorHAnsi"/>
        </w:rPr>
      </w:pPr>
    </w:p>
    <w:p w14:paraId="2236609D" w14:textId="77777777" w:rsidR="00F25F50" w:rsidRPr="00A3612B" w:rsidRDefault="00F25F50" w:rsidP="00F25F50">
      <w:pPr>
        <w:rPr>
          <w:rFonts w:asciiTheme="minorHAnsi" w:hAnsiTheme="minorHAnsi"/>
          <w:caps/>
          <w:sz w:val="22"/>
          <w:u w:val="single"/>
        </w:rPr>
      </w:pPr>
      <w:r w:rsidRPr="00A3612B">
        <w:rPr>
          <w:rFonts w:asciiTheme="minorHAnsi" w:hAnsiTheme="minorHAnsi"/>
          <w:b/>
          <w:caps/>
          <w:sz w:val="22"/>
          <w:u w:val="single"/>
        </w:rPr>
        <w:t>Policy Statements:</w:t>
      </w:r>
    </w:p>
    <w:p w14:paraId="1B253A48" w14:textId="77777777" w:rsidR="00F25F50" w:rsidRPr="00CB2CDC" w:rsidRDefault="00F25F50" w:rsidP="00F25F50">
      <w:pPr>
        <w:rPr>
          <w:rFonts w:asciiTheme="minorHAnsi" w:hAnsiTheme="minorHAnsi"/>
          <w:b/>
          <w:u w:val="single"/>
        </w:rPr>
      </w:pPr>
    </w:p>
    <w:p w14:paraId="7E39AE6D" w14:textId="77777777" w:rsidR="00F25F50" w:rsidRDefault="00F25F50" w:rsidP="00F25F50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A3612B">
        <w:rPr>
          <w:rFonts w:asciiTheme="minorHAnsi" w:hAnsiTheme="minorHAnsi" w:cs="Arial"/>
          <w:sz w:val="22"/>
          <w:szCs w:val="22"/>
        </w:rPr>
        <w:t>Living Allowance is not a wage. It is designed to help members meet the necessary living expenses incurred while participating in the AmeriCorps program.</w:t>
      </w:r>
    </w:p>
    <w:p w14:paraId="05E57660" w14:textId="77777777" w:rsidR="00F25F50" w:rsidRPr="00A3612B" w:rsidRDefault="00F25F50" w:rsidP="00F25F50">
      <w:pPr>
        <w:ind w:left="360"/>
        <w:rPr>
          <w:rFonts w:asciiTheme="minorHAnsi" w:hAnsiTheme="minorHAnsi" w:cs="Arial"/>
          <w:sz w:val="16"/>
          <w:szCs w:val="16"/>
        </w:rPr>
      </w:pPr>
    </w:p>
    <w:p w14:paraId="4EFAEE35" w14:textId="77777777" w:rsidR="00F25F50" w:rsidRDefault="00F25F50" w:rsidP="00F25F50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Sub-grantees</w:t>
      </w:r>
      <w:r w:rsidRPr="00A3612B">
        <w:rPr>
          <w:rFonts w:asciiTheme="minorHAnsi" w:hAnsiTheme="minorHAnsi" w:cs="Arial"/>
          <w:sz w:val="22"/>
          <w:szCs w:val="22"/>
        </w:rPr>
        <w:t xml:space="preserve"> must not pay a living allowance on an hourly basis. It should not fluctuate based on the number of hours members serve in </w:t>
      </w:r>
      <w:r>
        <w:rPr>
          <w:rFonts w:asciiTheme="minorHAnsi" w:hAnsiTheme="minorHAnsi" w:cs="Arial"/>
          <w:sz w:val="22"/>
          <w:szCs w:val="22"/>
        </w:rPr>
        <w:t>each pay</w:t>
      </w:r>
      <w:r w:rsidRPr="00A3612B">
        <w:rPr>
          <w:rFonts w:asciiTheme="minorHAnsi" w:hAnsiTheme="minorHAnsi" w:cs="Arial"/>
          <w:sz w:val="22"/>
          <w:szCs w:val="22"/>
        </w:rPr>
        <w:t xml:space="preserve"> period.</w:t>
      </w:r>
    </w:p>
    <w:p w14:paraId="0B913CFA" w14:textId="77777777" w:rsidR="00F25F50" w:rsidRPr="00A3612B" w:rsidRDefault="00F25F50" w:rsidP="00F25F50">
      <w:pPr>
        <w:rPr>
          <w:rFonts w:asciiTheme="minorHAnsi" w:hAnsiTheme="minorHAnsi" w:cs="Arial"/>
          <w:sz w:val="16"/>
          <w:szCs w:val="16"/>
        </w:rPr>
      </w:pPr>
    </w:p>
    <w:p w14:paraId="5DDCEE81" w14:textId="77777777" w:rsidR="00F25F50" w:rsidRDefault="00F25F50" w:rsidP="00F25F50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Sub-grantees </w:t>
      </w:r>
      <w:r w:rsidRPr="00A3612B">
        <w:rPr>
          <w:rFonts w:asciiTheme="minorHAnsi" w:hAnsiTheme="minorHAnsi" w:cs="Arial"/>
          <w:sz w:val="22"/>
          <w:szCs w:val="22"/>
        </w:rPr>
        <w:t>should pay the living allowance</w:t>
      </w:r>
      <w:r>
        <w:rPr>
          <w:rFonts w:asciiTheme="minorHAnsi" w:hAnsiTheme="minorHAnsi" w:cs="Arial"/>
          <w:sz w:val="22"/>
          <w:szCs w:val="22"/>
        </w:rPr>
        <w:t xml:space="preserve"> in increments such as weekly,</w:t>
      </w:r>
      <w:r w:rsidRPr="00A3612B">
        <w:rPr>
          <w:rFonts w:asciiTheme="minorHAnsi" w:hAnsiTheme="minorHAnsi" w:cs="Arial"/>
          <w:sz w:val="22"/>
          <w:szCs w:val="22"/>
        </w:rPr>
        <w:t xml:space="preserve"> bi-weekly</w:t>
      </w:r>
      <w:r>
        <w:rPr>
          <w:rFonts w:asciiTheme="minorHAnsi" w:hAnsiTheme="minorHAnsi" w:cs="Arial"/>
          <w:sz w:val="22"/>
          <w:szCs w:val="22"/>
        </w:rPr>
        <w:t xml:space="preserve"> or monthly</w:t>
      </w:r>
      <w:r w:rsidRPr="00A3612B">
        <w:rPr>
          <w:rFonts w:asciiTheme="minorHAnsi" w:hAnsiTheme="minorHAnsi" w:cs="Arial"/>
          <w:sz w:val="22"/>
          <w:szCs w:val="22"/>
        </w:rPr>
        <w:t>.</w:t>
      </w:r>
    </w:p>
    <w:p w14:paraId="7FB6A0BA" w14:textId="77777777" w:rsidR="00F25F50" w:rsidRPr="00A3612B" w:rsidRDefault="00F25F50" w:rsidP="00F25F50">
      <w:pPr>
        <w:rPr>
          <w:rFonts w:asciiTheme="minorHAnsi" w:hAnsiTheme="minorHAnsi" w:cs="Arial"/>
          <w:sz w:val="16"/>
          <w:szCs w:val="16"/>
        </w:rPr>
      </w:pPr>
    </w:p>
    <w:p w14:paraId="1C4105EB" w14:textId="77777777" w:rsidR="00F25F50" w:rsidRDefault="00F25F50" w:rsidP="00F25F50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A3612B">
        <w:rPr>
          <w:rFonts w:asciiTheme="minorHAnsi" w:hAnsiTheme="minorHAnsi" w:cs="Arial"/>
          <w:sz w:val="22"/>
          <w:szCs w:val="22"/>
        </w:rPr>
        <w:t>A member who completes his or her service early or starts</w:t>
      </w:r>
      <w:r>
        <w:rPr>
          <w:rFonts w:asciiTheme="minorHAnsi" w:hAnsiTheme="minorHAnsi" w:cs="Arial"/>
          <w:sz w:val="22"/>
          <w:szCs w:val="22"/>
        </w:rPr>
        <w:t xml:space="preserve"> service late should receive whatever</w:t>
      </w:r>
      <w:r w:rsidRPr="00A3612B">
        <w:rPr>
          <w:rFonts w:asciiTheme="minorHAnsi" w:hAnsiTheme="minorHAnsi" w:cs="Arial"/>
          <w:sz w:val="22"/>
          <w:szCs w:val="22"/>
        </w:rPr>
        <w:t xml:space="preserve"> portion of the living allowance that would be provided for that period of participation under the program’s living allowance distribution policy. </w:t>
      </w:r>
    </w:p>
    <w:p w14:paraId="058CD613" w14:textId="77777777" w:rsidR="00F25F50" w:rsidRPr="00A90F2D" w:rsidRDefault="00F25F50" w:rsidP="00F25F50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06FD583E" w14:textId="77777777" w:rsidR="00F25F50" w:rsidRDefault="00F25F50" w:rsidP="00F25F50">
      <w:pPr>
        <w:pStyle w:val="ListParagraph"/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For example:  T</w:t>
      </w:r>
      <w:r w:rsidRPr="00A3612B">
        <w:rPr>
          <w:rFonts w:asciiTheme="minorHAnsi" w:hAnsiTheme="minorHAnsi" w:cs="Arial"/>
          <w:sz w:val="22"/>
          <w:szCs w:val="22"/>
        </w:rPr>
        <w:t>he program is designed to run 11 months and the living</w:t>
      </w:r>
      <w:r>
        <w:rPr>
          <w:rFonts w:asciiTheme="minorHAnsi" w:hAnsiTheme="minorHAnsi" w:cs="Arial"/>
          <w:sz w:val="22"/>
          <w:szCs w:val="22"/>
        </w:rPr>
        <w:t xml:space="preserve"> allowance is paid monthly. A member who starts at the beginning of</w:t>
      </w:r>
      <w:r w:rsidRPr="00A3612B">
        <w:rPr>
          <w:rFonts w:asciiTheme="minorHAnsi" w:hAnsiTheme="minorHAnsi" w:cs="Arial"/>
          <w:sz w:val="22"/>
          <w:szCs w:val="22"/>
        </w:rPr>
        <w:t xml:space="preserve"> the second month will receive 10/11ths of the total living allowance, unless the member serves a month longer than the members who started in the first month of the program.</w:t>
      </w:r>
    </w:p>
    <w:p w14:paraId="402F04FC" w14:textId="77777777" w:rsidR="00F25F50" w:rsidRPr="00A3612B" w:rsidRDefault="00F25F50" w:rsidP="00F25F50">
      <w:pPr>
        <w:rPr>
          <w:rFonts w:asciiTheme="minorHAnsi" w:hAnsiTheme="minorHAnsi" w:cs="Arial"/>
          <w:sz w:val="16"/>
          <w:szCs w:val="16"/>
        </w:rPr>
      </w:pPr>
    </w:p>
    <w:p w14:paraId="66DF15CE" w14:textId="77777777" w:rsidR="00F25F50" w:rsidRDefault="00F25F50" w:rsidP="00F25F50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A3612B">
        <w:rPr>
          <w:rFonts w:asciiTheme="minorHAnsi" w:hAnsiTheme="minorHAnsi" w:cs="Arial"/>
          <w:sz w:val="22"/>
          <w:szCs w:val="22"/>
        </w:rPr>
        <w:t>If a member does not serve the full term of service as designed, the member will not receive the full minimum living allowance.</w:t>
      </w:r>
    </w:p>
    <w:p w14:paraId="17546D02" w14:textId="77777777" w:rsidR="00F25F50" w:rsidRPr="00A90F2D" w:rsidRDefault="00F25F50" w:rsidP="00F25F50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1CE6B228" w14:textId="77777777" w:rsidR="00F25F50" w:rsidRPr="00A90F2D" w:rsidRDefault="00F25F50" w:rsidP="00F25F50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Sub-grantees may not provide a </w:t>
      </w:r>
      <w:r w:rsidRPr="00A90F2D">
        <w:rPr>
          <w:rFonts w:asciiTheme="minorHAnsi" w:hAnsiTheme="minorHAnsi"/>
          <w:sz w:val="22"/>
          <w:szCs w:val="22"/>
        </w:rPr>
        <w:t xml:space="preserve">lump sum payment at the end </w:t>
      </w:r>
      <w:r>
        <w:rPr>
          <w:rFonts w:asciiTheme="minorHAnsi" w:hAnsiTheme="minorHAnsi"/>
          <w:sz w:val="22"/>
          <w:szCs w:val="22"/>
        </w:rPr>
        <w:t>of a term or</w:t>
      </w:r>
      <w:r w:rsidRPr="00A90F2D">
        <w:rPr>
          <w:rFonts w:asciiTheme="minorHAnsi" w:hAnsiTheme="minorHAnsi"/>
          <w:sz w:val="22"/>
          <w:szCs w:val="22"/>
        </w:rPr>
        <w:t xml:space="preserve"> give</w:t>
      </w:r>
      <w:r>
        <w:rPr>
          <w:rFonts w:asciiTheme="minorHAnsi" w:hAnsiTheme="minorHAnsi"/>
          <w:sz w:val="22"/>
          <w:szCs w:val="22"/>
        </w:rPr>
        <w:t xml:space="preserve"> a member who starts late a larger living allowance distribution</w:t>
      </w:r>
      <w:r w:rsidRPr="00A90F2D">
        <w:rPr>
          <w:rFonts w:asciiTheme="minorHAnsi" w:hAnsiTheme="minorHAnsi"/>
          <w:sz w:val="22"/>
          <w:szCs w:val="22"/>
        </w:rPr>
        <w:t xml:space="preserve"> at the beginning </w:t>
      </w:r>
      <w:r>
        <w:rPr>
          <w:rFonts w:asciiTheme="minorHAnsi" w:hAnsiTheme="minorHAnsi"/>
          <w:sz w:val="22"/>
          <w:szCs w:val="22"/>
        </w:rPr>
        <w:t xml:space="preserve">of the term </w:t>
      </w:r>
      <w:r w:rsidRPr="00A90F2D">
        <w:rPr>
          <w:rFonts w:asciiTheme="minorHAnsi" w:hAnsiTheme="minorHAnsi"/>
          <w:sz w:val="22"/>
          <w:szCs w:val="22"/>
        </w:rPr>
        <w:t>to catch up for what they missed.</w:t>
      </w:r>
    </w:p>
    <w:p w14:paraId="594D667F" w14:textId="77777777" w:rsidR="00F25F50" w:rsidRPr="00A90F2D" w:rsidRDefault="00F25F50" w:rsidP="00F25F50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0961F84C" w14:textId="77777777" w:rsidR="00F25F50" w:rsidRDefault="00F25F50" w:rsidP="00F25F5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Sub-grantees are not required to</w:t>
      </w:r>
      <w:r w:rsidRPr="00A90F2D">
        <w:rPr>
          <w:rFonts w:asciiTheme="minorHAnsi" w:hAnsiTheme="minorHAnsi"/>
          <w:sz w:val="22"/>
          <w:szCs w:val="22"/>
        </w:rPr>
        <w:t xml:space="preserve"> pro-rate their living allowance based solely on </w:t>
      </w:r>
      <w:r>
        <w:rPr>
          <w:rFonts w:asciiTheme="minorHAnsi" w:hAnsiTheme="minorHAnsi"/>
          <w:sz w:val="22"/>
          <w:szCs w:val="22"/>
        </w:rPr>
        <w:t>the timing of a</w:t>
      </w:r>
      <w:r w:rsidRPr="00A90F2D">
        <w:rPr>
          <w:rFonts w:asciiTheme="minorHAnsi" w:hAnsiTheme="minorHAnsi"/>
          <w:sz w:val="22"/>
          <w:szCs w:val="22"/>
        </w:rPr>
        <w:t xml:space="preserve"> pay period</w:t>
      </w:r>
      <w:r>
        <w:rPr>
          <w:rFonts w:asciiTheme="minorHAnsi" w:hAnsiTheme="minorHAnsi"/>
          <w:sz w:val="22"/>
          <w:szCs w:val="22"/>
        </w:rPr>
        <w:t>.</w:t>
      </w:r>
      <w:r w:rsidRPr="00A90F2D">
        <w:rPr>
          <w:rFonts w:asciiTheme="minorHAnsi" w:hAnsiTheme="minorHAnsi"/>
          <w:sz w:val="22"/>
          <w:szCs w:val="22"/>
        </w:rPr>
        <w:t xml:space="preserve"> </w:t>
      </w:r>
    </w:p>
    <w:p w14:paraId="0E7F2D24" w14:textId="77777777" w:rsidR="00F25F50" w:rsidRPr="00A90F2D" w:rsidRDefault="00F25F50" w:rsidP="00F25F50">
      <w:pPr>
        <w:pStyle w:val="ListParagraph"/>
        <w:rPr>
          <w:rFonts w:asciiTheme="minorHAnsi" w:hAnsiTheme="minorHAnsi"/>
          <w:sz w:val="22"/>
          <w:szCs w:val="22"/>
        </w:rPr>
      </w:pPr>
    </w:p>
    <w:p w14:paraId="3FF37407" w14:textId="77777777" w:rsidR="00F25F50" w:rsidRDefault="00F25F50" w:rsidP="00F25F50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4703F5">
        <w:rPr>
          <w:rFonts w:asciiTheme="minorHAnsi" w:hAnsiTheme="minorHAnsi"/>
          <w:sz w:val="22"/>
          <w:szCs w:val="22"/>
        </w:rPr>
        <w:t>For example:  A program starts on 9/3 and members are scheduled to receive 20 paychecks (i.e. 20 pay periods) for a total annual living allowance of $2,000. The</w:t>
      </w:r>
      <w:r>
        <w:rPr>
          <w:rFonts w:asciiTheme="minorHAnsi" w:hAnsiTheme="minorHAnsi"/>
          <w:sz w:val="22"/>
          <w:szCs w:val="22"/>
        </w:rPr>
        <w:t xml:space="preserve"> organization’s</w:t>
      </w:r>
      <w:r w:rsidRPr="004703F5">
        <w:rPr>
          <w:rFonts w:asciiTheme="minorHAnsi" w:hAnsiTheme="minorHAnsi"/>
          <w:sz w:val="22"/>
          <w:szCs w:val="22"/>
        </w:rPr>
        <w:t xml:space="preserve"> normal pay period runs 9/1 – 9/15. The sub-grantee is not required to pro-rate that first payment to only cover 13 days instead of 15 days. They are allowed to distribute the total living allowance equally. So</w:t>
      </w:r>
      <w:r>
        <w:rPr>
          <w:rFonts w:asciiTheme="minorHAnsi" w:hAnsiTheme="minorHAnsi"/>
          <w:sz w:val="22"/>
          <w:szCs w:val="22"/>
        </w:rPr>
        <w:t>,</w:t>
      </w:r>
      <w:r w:rsidRPr="004703F5">
        <w:rPr>
          <w:rFonts w:asciiTheme="minorHAnsi" w:hAnsiTheme="minorHAnsi"/>
          <w:sz w:val="22"/>
          <w:szCs w:val="22"/>
        </w:rPr>
        <w:t xml:space="preserve"> instead of having the first pay period to be less than the subsequent 19 pay periods, the sub-grantee can have 20 pay periods of $100 each. </w:t>
      </w:r>
    </w:p>
    <w:p w14:paraId="79B701FD" w14:textId="77777777" w:rsidR="00F25F50" w:rsidRPr="004703F5" w:rsidRDefault="00F25F50" w:rsidP="00F25F50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7CD431C1" w14:textId="77777777" w:rsidR="00F25F50" w:rsidRPr="00F33890" w:rsidRDefault="00F25F50" w:rsidP="00F25F5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Members of a particular member type who start later than members of the same member type should be paid the same per pay period as the group of members who started first.</w:t>
      </w:r>
    </w:p>
    <w:p w14:paraId="7385BA36" w14:textId="77777777" w:rsidR="00F25F50" w:rsidRDefault="00F25F50" w:rsidP="00F25F50">
      <w:pPr>
        <w:rPr>
          <w:rFonts w:asciiTheme="minorHAnsi" w:hAnsiTheme="minorHAnsi" w:cs="Arial"/>
          <w:b/>
          <w:sz w:val="22"/>
          <w:szCs w:val="22"/>
        </w:rPr>
      </w:pPr>
    </w:p>
    <w:p w14:paraId="6C45A89E" w14:textId="77777777" w:rsidR="00F25F50" w:rsidRPr="00A3612B" w:rsidRDefault="00F25F50" w:rsidP="00F25F50">
      <w:pPr>
        <w:rPr>
          <w:rFonts w:asciiTheme="minorHAnsi" w:hAnsiTheme="minorHAnsi"/>
          <w:caps/>
          <w:sz w:val="22"/>
          <w:u w:val="single"/>
        </w:rPr>
      </w:pPr>
      <w:r w:rsidRPr="00A3612B">
        <w:rPr>
          <w:rFonts w:asciiTheme="minorHAnsi" w:hAnsiTheme="minorHAnsi"/>
          <w:b/>
          <w:caps/>
          <w:sz w:val="22"/>
          <w:u w:val="single"/>
        </w:rPr>
        <w:t>Pro-rating living allowance for a pay period:</w:t>
      </w:r>
    </w:p>
    <w:p w14:paraId="4762B11B" w14:textId="77777777" w:rsidR="00F25F50" w:rsidRPr="00CB2CDC" w:rsidRDefault="00F25F50" w:rsidP="00F25F50">
      <w:pPr>
        <w:rPr>
          <w:rFonts w:asciiTheme="minorHAnsi" w:hAnsiTheme="minorHAnsi"/>
          <w:b/>
          <w:u w:val="single"/>
        </w:rPr>
      </w:pPr>
    </w:p>
    <w:p w14:paraId="30312E74" w14:textId="77777777" w:rsidR="00F25F50" w:rsidRDefault="00F25F50" w:rsidP="00F25F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If a member either starts later in the pay period or exits early in a pay period, his or her living allowance should generally be pro-rated based on his or her start or end date. However, each program may establish a different written pro-rating policy that is reasonable.  </w:t>
      </w:r>
    </w:p>
    <w:p w14:paraId="69CFE337" w14:textId="77777777" w:rsidR="00F25F50" w:rsidRDefault="00F25F50" w:rsidP="00F25F50">
      <w:pPr>
        <w:rPr>
          <w:rFonts w:asciiTheme="minorHAnsi" w:hAnsiTheme="minorHAnsi" w:cs="Arial"/>
          <w:sz w:val="22"/>
          <w:szCs w:val="22"/>
        </w:rPr>
      </w:pPr>
    </w:p>
    <w:p w14:paraId="674CB555" w14:textId="77777777" w:rsidR="00F25F50" w:rsidRPr="002A3CF6" w:rsidRDefault="00F25F50" w:rsidP="00F25F50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A3CF6">
        <w:rPr>
          <w:rFonts w:asciiTheme="minorHAnsi" w:hAnsiTheme="minorHAnsi" w:cs="Arial"/>
          <w:sz w:val="22"/>
          <w:szCs w:val="22"/>
        </w:rPr>
        <w:t xml:space="preserve">For example:  </w:t>
      </w:r>
      <w:r>
        <w:rPr>
          <w:rFonts w:asciiTheme="minorHAnsi" w:hAnsiTheme="minorHAnsi" w:cs="Arial"/>
          <w:sz w:val="22"/>
          <w:szCs w:val="22"/>
        </w:rPr>
        <w:t>If a sub-grantee</w:t>
      </w:r>
      <w:r w:rsidRPr="002A3CF6">
        <w:rPr>
          <w:rFonts w:asciiTheme="minorHAnsi" w:hAnsiTheme="minorHAnsi" w:cs="Arial"/>
          <w:sz w:val="22"/>
          <w:szCs w:val="22"/>
        </w:rPr>
        <w:t xml:space="preserve"> pays members </w:t>
      </w:r>
      <w:r>
        <w:rPr>
          <w:rFonts w:asciiTheme="minorHAnsi" w:hAnsiTheme="minorHAnsi" w:cs="Arial"/>
          <w:sz w:val="22"/>
          <w:szCs w:val="22"/>
        </w:rPr>
        <w:t>monthly</w:t>
      </w:r>
      <w:r w:rsidRPr="002A3CF6">
        <w:rPr>
          <w:rFonts w:asciiTheme="minorHAnsi" w:hAnsiTheme="minorHAnsi" w:cs="Arial"/>
          <w:sz w:val="22"/>
          <w:szCs w:val="22"/>
        </w:rPr>
        <w:t>, it may set a policy that if a member comes on board within the first two weeks of the month, they would still receive the full living allowance for the month. But if the</w:t>
      </w:r>
      <w:r>
        <w:rPr>
          <w:rFonts w:asciiTheme="minorHAnsi" w:hAnsiTheme="minorHAnsi" w:cs="Arial"/>
          <w:sz w:val="22"/>
          <w:szCs w:val="22"/>
        </w:rPr>
        <w:t>y</w:t>
      </w:r>
      <w:r w:rsidRPr="002A3CF6">
        <w:rPr>
          <w:rFonts w:asciiTheme="minorHAnsi" w:hAnsiTheme="minorHAnsi" w:cs="Arial"/>
          <w:sz w:val="22"/>
          <w:szCs w:val="22"/>
        </w:rPr>
        <w:t xml:space="preserve"> start their service later than that, they could pro</w:t>
      </w:r>
      <w:r>
        <w:rPr>
          <w:rFonts w:asciiTheme="minorHAnsi" w:hAnsiTheme="minorHAnsi" w:cs="Arial"/>
          <w:sz w:val="22"/>
          <w:szCs w:val="22"/>
        </w:rPr>
        <w:t>-</w:t>
      </w:r>
      <w:r w:rsidRPr="002A3CF6">
        <w:rPr>
          <w:rFonts w:asciiTheme="minorHAnsi" w:hAnsiTheme="minorHAnsi" w:cs="Arial"/>
          <w:sz w:val="22"/>
          <w:szCs w:val="22"/>
        </w:rPr>
        <w:t>rate the amount based on the number of days in the m</w:t>
      </w:r>
      <w:r>
        <w:rPr>
          <w:rFonts w:asciiTheme="minorHAnsi" w:hAnsiTheme="minorHAnsi" w:cs="Arial"/>
          <w:sz w:val="22"/>
          <w:szCs w:val="22"/>
        </w:rPr>
        <w:t>onth that they serve. The same w</w:t>
      </w:r>
      <w:r w:rsidRPr="002A3CF6">
        <w:rPr>
          <w:rFonts w:asciiTheme="minorHAnsi" w:hAnsiTheme="minorHAnsi" w:cs="Arial"/>
          <w:sz w:val="22"/>
          <w:szCs w:val="22"/>
        </w:rPr>
        <w:t>ould hold true for the end of service.</w:t>
      </w:r>
    </w:p>
    <w:p w14:paraId="04D55D7E" w14:textId="77777777" w:rsidR="00F25F50" w:rsidRDefault="00F25F50" w:rsidP="00F25F50">
      <w:pPr>
        <w:rPr>
          <w:rFonts w:asciiTheme="minorHAnsi" w:hAnsiTheme="minorHAnsi" w:cs="Arial"/>
          <w:sz w:val="22"/>
          <w:szCs w:val="22"/>
        </w:rPr>
      </w:pPr>
    </w:p>
    <w:p w14:paraId="08705590" w14:textId="77777777" w:rsidR="00F25F50" w:rsidRDefault="00F25F50" w:rsidP="00F25F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 program can establish its own cut-off points provided they are reasonable, documented and followed consistently. </w:t>
      </w:r>
    </w:p>
    <w:p w14:paraId="588F1DEC" w14:textId="77777777" w:rsidR="00F25F50" w:rsidRPr="00501DEA" w:rsidRDefault="00F25F50" w:rsidP="00F25F50">
      <w:pPr>
        <w:rPr>
          <w:rFonts w:asciiTheme="minorHAnsi" w:hAnsiTheme="minorHAnsi" w:cs="Arial"/>
          <w:sz w:val="22"/>
          <w:szCs w:val="22"/>
        </w:rPr>
      </w:pPr>
    </w:p>
    <w:p w14:paraId="057BD1D0" w14:textId="77777777" w:rsidR="00F25F50" w:rsidRPr="001469DC" w:rsidRDefault="00F25F50" w:rsidP="00F25F50">
      <w:pPr>
        <w:rPr>
          <w:rFonts w:asciiTheme="minorHAnsi" w:hAnsiTheme="minorHAnsi"/>
          <w:caps/>
          <w:sz w:val="22"/>
          <w:u w:val="single"/>
        </w:rPr>
      </w:pPr>
      <w:r w:rsidRPr="001469DC">
        <w:rPr>
          <w:rFonts w:asciiTheme="minorHAnsi" w:hAnsiTheme="minorHAnsi"/>
          <w:b/>
          <w:caps/>
          <w:sz w:val="22"/>
          <w:u w:val="single"/>
        </w:rPr>
        <w:t xml:space="preserve">Incentives and Leadership Stipends: </w:t>
      </w:r>
    </w:p>
    <w:p w14:paraId="7A2CBB53" w14:textId="77777777" w:rsidR="00F25F50" w:rsidRPr="001469DC" w:rsidRDefault="00F25F50" w:rsidP="00F25F50">
      <w:pPr>
        <w:rPr>
          <w:rFonts w:asciiTheme="minorHAnsi" w:hAnsiTheme="minorHAnsi"/>
          <w:b/>
          <w:u w:val="single"/>
        </w:rPr>
      </w:pPr>
    </w:p>
    <w:p w14:paraId="211B6A26" w14:textId="77777777" w:rsidR="00F25F50" w:rsidRPr="002D1B5A" w:rsidRDefault="00F25F50" w:rsidP="00F25F50">
      <w:pPr>
        <w:rPr>
          <w:rFonts w:ascii="Calibri" w:eastAsia="Calibri" w:hAnsi="Calibri"/>
          <w:b/>
          <w:sz w:val="22"/>
          <w:szCs w:val="22"/>
        </w:rPr>
      </w:pPr>
      <w:r w:rsidRPr="002D1B5A">
        <w:rPr>
          <w:rFonts w:ascii="Calibri" w:eastAsia="Calibri" w:hAnsi="Calibri"/>
          <w:b/>
          <w:sz w:val="22"/>
          <w:szCs w:val="22"/>
        </w:rPr>
        <w:t>Cash Performan</w:t>
      </w:r>
      <w:r>
        <w:rPr>
          <w:rFonts w:ascii="Calibri" w:eastAsia="Calibri" w:hAnsi="Calibri"/>
          <w:b/>
          <w:sz w:val="22"/>
          <w:szCs w:val="22"/>
        </w:rPr>
        <w:t>ce-Based Incentives for Members</w:t>
      </w:r>
    </w:p>
    <w:p w14:paraId="33C3E52F" w14:textId="77777777" w:rsidR="00F25F50" w:rsidRPr="001469DC" w:rsidRDefault="00F25F50" w:rsidP="00F25F50">
      <w:pPr>
        <w:ind w:left="720"/>
        <w:rPr>
          <w:rFonts w:ascii="Calibri" w:eastAsia="Calibri" w:hAnsi="Calibri"/>
          <w:sz w:val="22"/>
          <w:szCs w:val="22"/>
        </w:rPr>
      </w:pPr>
      <w:r w:rsidRPr="001469DC">
        <w:rPr>
          <w:rFonts w:ascii="Calibri" w:eastAsia="Calibri" w:hAnsi="Calibri"/>
          <w:sz w:val="22"/>
          <w:szCs w:val="22"/>
        </w:rPr>
        <w:t xml:space="preserve">Programs are allowed to provide cash performance-based incentives to members, as long as it is an option for all members in a program.  Any offering of cash incentives to a certain segment of members in a program must be approved in advance by </w:t>
      </w:r>
      <w:r>
        <w:rPr>
          <w:rFonts w:ascii="Calibri" w:eastAsia="Calibri" w:hAnsi="Calibri"/>
          <w:sz w:val="22"/>
          <w:szCs w:val="22"/>
        </w:rPr>
        <w:t>Nevada Volunteers</w:t>
      </w:r>
      <w:r w:rsidRPr="001469DC">
        <w:rPr>
          <w:rFonts w:ascii="Calibri" w:eastAsia="Calibri" w:hAnsi="Calibri"/>
          <w:sz w:val="22"/>
          <w:szCs w:val="22"/>
        </w:rPr>
        <w:t>.  Also, the sum of a member’s living allowance and any cash incentives received may not exceed the maximum allowable living allowance for the particular member type.</w:t>
      </w:r>
    </w:p>
    <w:p w14:paraId="7D3C0A72" w14:textId="77777777" w:rsidR="00F25F50" w:rsidRPr="001469DC" w:rsidRDefault="00F25F50" w:rsidP="00F25F50">
      <w:pPr>
        <w:rPr>
          <w:rFonts w:asciiTheme="minorHAnsi" w:hAnsiTheme="minorHAnsi"/>
          <w:sz w:val="22"/>
          <w:szCs w:val="22"/>
          <w:u w:val="single"/>
        </w:rPr>
      </w:pPr>
    </w:p>
    <w:p w14:paraId="0369B778" w14:textId="77777777" w:rsidR="00F25F50" w:rsidRPr="002D1B5A" w:rsidRDefault="00F25F50" w:rsidP="00F25F50">
      <w:pPr>
        <w:rPr>
          <w:rFonts w:ascii="Calibri" w:eastAsia="Calibri" w:hAnsi="Calibri"/>
          <w:b/>
          <w:sz w:val="22"/>
          <w:szCs w:val="22"/>
        </w:rPr>
      </w:pPr>
      <w:r w:rsidRPr="002D1B5A">
        <w:rPr>
          <w:rFonts w:ascii="Calibri" w:eastAsia="Calibri" w:hAnsi="Calibri"/>
          <w:b/>
          <w:sz w:val="22"/>
          <w:szCs w:val="22"/>
        </w:rPr>
        <w:t>Increased Stipends for Members with Additional Leadership Responsibilities</w:t>
      </w:r>
    </w:p>
    <w:p w14:paraId="09B03A68" w14:textId="77777777" w:rsidR="00F25F50" w:rsidRDefault="00F25F50" w:rsidP="00F25F50">
      <w:pPr>
        <w:rPr>
          <w:rFonts w:ascii="Calibri" w:eastAsia="Calibri" w:hAnsi="Calibri"/>
          <w:sz w:val="22"/>
          <w:szCs w:val="22"/>
        </w:rPr>
      </w:pPr>
    </w:p>
    <w:p w14:paraId="48BD6A05" w14:textId="77777777" w:rsidR="00F25F50" w:rsidRPr="001469DC" w:rsidRDefault="00F25F50" w:rsidP="00F25F50">
      <w:pPr>
        <w:rPr>
          <w:rFonts w:ascii="Calibri" w:eastAsia="Calibri" w:hAnsi="Calibri"/>
          <w:sz w:val="22"/>
          <w:szCs w:val="22"/>
        </w:rPr>
      </w:pPr>
      <w:r w:rsidRPr="001469DC">
        <w:rPr>
          <w:rFonts w:ascii="Calibri" w:eastAsia="Calibri" w:hAnsi="Calibri"/>
          <w:sz w:val="22"/>
          <w:szCs w:val="22"/>
        </w:rPr>
        <w:t xml:space="preserve">Programs are allowed to provide leadership stipends for certain members placed in additional leadership roles, subject to the following conditions:  </w:t>
      </w:r>
    </w:p>
    <w:p w14:paraId="25990B2C" w14:textId="77777777" w:rsidR="00F25F50" w:rsidRPr="001469DC" w:rsidRDefault="00F25F50" w:rsidP="00F25F50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Calibri" w:eastAsia="Calibri" w:hAnsi="Calibri"/>
          <w:sz w:val="22"/>
          <w:szCs w:val="22"/>
        </w:rPr>
      </w:pPr>
      <w:r w:rsidRPr="001469DC">
        <w:rPr>
          <w:rFonts w:ascii="Calibri" w:eastAsia="Calibri" w:hAnsi="Calibri"/>
          <w:sz w:val="22"/>
          <w:szCs w:val="22"/>
        </w:rPr>
        <w:t>The leader member positions are a strategic addition to the program design and are necessary or provide enhancement to the work proposed</w:t>
      </w:r>
    </w:p>
    <w:p w14:paraId="7B4E6A27" w14:textId="77777777" w:rsidR="00F25F50" w:rsidRPr="001469DC" w:rsidRDefault="00F25F50" w:rsidP="00F25F50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Calibri" w:eastAsia="Calibri" w:hAnsi="Calibri"/>
          <w:sz w:val="22"/>
          <w:szCs w:val="22"/>
        </w:rPr>
      </w:pPr>
      <w:r w:rsidRPr="001469DC">
        <w:rPr>
          <w:rFonts w:ascii="Calibri" w:eastAsia="Calibri" w:hAnsi="Calibri"/>
          <w:sz w:val="22"/>
          <w:szCs w:val="22"/>
        </w:rPr>
        <w:t>The leader members have a different service position description than the other members.  The service position description describes the leadership duties.</w:t>
      </w:r>
    </w:p>
    <w:p w14:paraId="0A4B4BD6" w14:textId="77777777" w:rsidR="00F25F50" w:rsidRPr="001469DC" w:rsidRDefault="00F25F50" w:rsidP="00F25F50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Calibri" w:eastAsia="Calibri" w:hAnsi="Calibri"/>
          <w:sz w:val="22"/>
          <w:szCs w:val="22"/>
        </w:rPr>
      </w:pPr>
      <w:r w:rsidRPr="001469DC">
        <w:rPr>
          <w:rFonts w:ascii="Calibri" w:eastAsia="Calibri" w:hAnsi="Calibri"/>
          <w:sz w:val="22"/>
          <w:szCs w:val="22"/>
        </w:rPr>
        <w:t>The program design drives the number of leader positions that will exist and be filled, rather than the number of individuals who are qualified.</w:t>
      </w:r>
    </w:p>
    <w:p w14:paraId="05A9195A" w14:textId="77777777" w:rsidR="00F25F50" w:rsidRDefault="00F25F50" w:rsidP="00F25F50">
      <w:pPr>
        <w:rPr>
          <w:rFonts w:ascii="Calibri" w:eastAsia="Calibri" w:hAnsi="Calibri"/>
          <w:sz w:val="22"/>
          <w:szCs w:val="22"/>
        </w:rPr>
      </w:pPr>
    </w:p>
    <w:p w14:paraId="433E458C" w14:textId="77777777" w:rsidR="00F25F50" w:rsidRPr="001469DC" w:rsidRDefault="00F25F50" w:rsidP="00F25F50">
      <w:pPr>
        <w:rPr>
          <w:rFonts w:ascii="Calibri" w:eastAsia="Calibri" w:hAnsi="Calibri"/>
          <w:sz w:val="22"/>
          <w:szCs w:val="22"/>
        </w:rPr>
      </w:pPr>
      <w:r w:rsidRPr="001469DC">
        <w:rPr>
          <w:rFonts w:ascii="Calibri" w:eastAsia="Calibri" w:hAnsi="Calibri"/>
          <w:sz w:val="22"/>
          <w:szCs w:val="22"/>
        </w:rPr>
        <w:t>Although these positions are in a leadership role, the members may not engage in any activities prohibited of AmeriCorps members.  These include:</w:t>
      </w:r>
    </w:p>
    <w:p w14:paraId="46FEDA02" w14:textId="77777777" w:rsidR="00F25F50" w:rsidRPr="001469DC" w:rsidRDefault="00F25F50" w:rsidP="00F25F50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Calibri" w:eastAsia="Calibri" w:hAnsi="Calibri"/>
          <w:sz w:val="22"/>
          <w:szCs w:val="22"/>
        </w:rPr>
      </w:pPr>
      <w:r w:rsidRPr="001469DC">
        <w:rPr>
          <w:rFonts w:ascii="Calibri" w:eastAsia="Calibri" w:hAnsi="Calibri"/>
          <w:sz w:val="22"/>
          <w:szCs w:val="22"/>
        </w:rPr>
        <w:t>Supervising other AmeriCorps members</w:t>
      </w:r>
    </w:p>
    <w:p w14:paraId="39FE69E0" w14:textId="77777777" w:rsidR="00F25F50" w:rsidRPr="001469DC" w:rsidRDefault="00F25F50" w:rsidP="00F25F50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Calibri" w:eastAsia="Calibri" w:hAnsi="Calibri"/>
          <w:sz w:val="22"/>
          <w:szCs w:val="22"/>
        </w:rPr>
      </w:pPr>
      <w:r w:rsidRPr="001469DC">
        <w:rPr>
          <w:rFonts w:ascii="Calibri" w:eastAsia="Calibri" w:hAnsi="Calibri"/>
          <w:sz w:val="22"/>
          <w:szCs w:val="22"/>
        </w:rPr>
        <w:t xml:space="preserve">Performing non-direct service duties related to management and operations of the AmeriCorps program (e.g. completing reports for </w:t>
      </w:r>
      <w:r>
        <w:rPr>
          <w:rFonts w:ascii="Calibri" w:eastAsia="Calibri" w:hAnsi="Calibri"/>
          <w:sz w:val="22"/>
          <w:szCs w:val="22"/>
        </w:rPr>
        <w:t>Nevada Volunteers</w:t>
      </w:r>
      <w:r w:rsidRPr="001469DC">
        <w:rPr>
          <w:rFonts w:ascii="Calibri" w:eastAsia="Calibri" w:hAnsi="Calibri"/>
          <w:sz w:val="22"/>
          <w:szCs w:val="22"/>
        </w:rPr>
        <w:t>, entering timesheet data for all members into a database, tracking performance measure data for the program as a whole)</w:t>
      </w:r>
    </w:p>
    <w:p w14:paraId="70308679" w14:textId="77777777" w:rsidR="00F25F50" w:rsidRPr="001469DC" w:rsidRDefault="00F25F50" w:rsidP="00F25F50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Calibri" w:eastAsia="Calibri" w:hAnsi="Calibri"/>
          <w:sz w:val="22"/>
          <w:szCs w:val="22"/>
        </w:rPr>
      </w:pPr>
      <w:r w:rsidRPr="001469DC">
        <w:rPr>
          <w:rFonts w:ascii="Calibri" w:eastAsia="Calibri" w:hAnsi="Calibri"/>
          <w:sz w:val="22"/>
          <w:szCs w:val="22"/>
        </w:rPr>
        <w:t xml:space="preserve">Performing other work for the organization that is unrelated to the service activities in the approved grant application </w:t>
      </w:r>
    </w:p>
    <w:p w14:paraId="10A3B078" w14:textId="77777777" w:rsidR="00F25F50" w:rsidRPr="001469DC" w:rsidRDefault="00F25F50" w:rsidP="00F25F50">
      <w:pPr>
        <w:rPr>
          <w:rFonts w:asciiTheme="minorHAnsi" w:hAnsiTheme="minorHAnsi"/>
          <w:sz w:val="22"/>
          <w:szCs w:val="22"/>
        </w:rPr>
      </w:pPr>
    </w:p>
    <w:p w14:paraId="72B59D45" w14:textId="77777777" w:rsidR="000E4AF0" w:rsidRDefault="000E4AF0"/>
    <w:sectPr w:rsidR="000E4AF0" w:rsidSect="00FC11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10" w:right="1080" w:bottom="99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6FCD1" w14:textId="77777777" w:rsidR="005215DD" w:rsidRDefault="005215DD" w:rsidP="005215DD">
      <w:r>
        <w:separator/>
      </w:r>
    </w:p>
  </w:endnote>
  <w:endnote w:type="continuationSeparator" w:id="0">
    <w:p w14:paraId="35224DD2" w14:textId="77777777" w:rsidR="005215DD" w:rsidRDefault="005215DD" w:rsidP="005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4AF79" w14:textId="77777777" w:rsidR="000E1608" w:rsidRDefault="000E1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06485" w14:textId="77777777" w:rsidR="000E1608" w:rsidRDefault="000E1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BEED" w14:textId="77777777" w:rsidR="000E1608" w:rsidRDefault="000E1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5DEA0" w14:textId="77777777" w:rsidR="005215DD" w:rsidRDefault="005215DD" w:rsidP="005215DD">
      <w:r>
        <w:separator/>
      </w:r>
    </w:p>
  </w:footnote>
  <w:footnote w:type="continuationSeparator" w:id="0">
    <w:p w14:paraId="545602C0" w14:textId="77777777" w:rsidR="005215DD" w:rsidRDefault="005215DD" w:rsidP="0052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53EA2" w14:textId="77777777" w:rsidR="000E1608" w:rsidRDefault="000E1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F42B2" w14:textId="342A9EE2" w:rsidR="00BD274E" w:rsidRPr="005215DD" w:rsidRDefault="005215DD" w:rsidP="005215DD">
    <w:pPr>
      <w:pStyle w:val="Header"/>
      <w:jc w:val="center"/>
    </w:pPr>
    <w:r>
      <w:rPr>
        <w:noProof/>
      </w:rPr>
      <w:drawing>
        <wp:inline distT="0" distB="0" distL="0" distR="0" wp14:anchorId="5B693DFE" wp14:editId="1F87A8DD">
          <wp:extent cx="891540" cy="891540"/>
          <wp:effectExtent l="0" t="0" r="3810" b="3810"/>
          <wp:docPr id="5" name="Picture 5" descr="C:\Users\Laura Dickey\AppData\Local\Microsoft\Windows\INetCacheContent.Word\AmeriCorpsNEV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ura Dickey\AppData\Local\Microsoft\Windows\INetCacheContent.Word\AmeriCorpsNEV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164C2" w14:textId="77777777" w:rsidR="000E1608" w:rsidRDefault="000E1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B6B"/>
    <w:multiLevelType w:val="hybridMultilevel"/>
    <w:tmpl w:val="5D1A3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E1620"/>
    <w:multiLevelType w:val="hybridMultilevel"/>
    <w:tmpl w:val="19564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837259"/>
    <w:multiLevelType w:val="hybridMultilevel"/>
    <w:tmpl w:val="60AA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50"/>
    <w:rsid w:val="00070E62"/>
    <w:rsid w:val="000E1608"/>
    <w:rsid w:val="000E4AF0"/>
    <w:rsid w:val="001C666D"/>
    <w:rsid w:val="00514293"/>
    <w:rsid w:val="005215DD"/>
    <w:rsid w:val="00F25F50"/>
    <w:rsid w:val="00F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37E9D"/>
  <w15:chartTrackingRefBased/>
  <w15:docId w15:val="{80FD94C3-C6D5-4672-A458-48592CE4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5F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F5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F5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D921D2239B047A047201EAF633849" ma:contentTypeVersion="6" ma:contentTypeDescription="Create a new document." ma:contentTypeScope="" ma:versionID="73c913c8387708e93c26e533671a091c">
  <xsd:schema xmlns:xsd="http://www.w3.org/2001/XMLSchema" xmlns:xs="http://www.w3.org/2001/XMLSchema" xmlns:p="http://schemas.microsoft.com/office/2006/metadata/properties" xmlns:ns2="89d6f49f-0971-4483-baf3-e749a31a2333" xmlns:ns3="3f392bba-b4b4-4cdd-992b-3a29b4cba812" targetNamespace="http://schemas.microsoft.com/office/2006/metadata/properties" ma:root="true" ma:fieldsID="8c054467e18aa44275c89311504dfbbe" ns2:_="" ns3:_="">
    <xsd:import namespace="89d6f49f-0971-4483-baf3-e749a31a2333"/>
    <xsd:import namespace="3f392bba-b4b4-4cdd-992b-3a29b4cba8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6f49f-0971-4483-baf3-e749a31a23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2bba-b4b4-4cdd-992b-3a29b4cba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0E7A7-CE4E-455F-AA40-E1EFA7CE1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35C0E-45CA-4960-ADF3-1B1038E7918E}"/>
</file>

<file path=customXml/itemProps3.xml><?xml version="1.0" encoding="utf-8"?>
<ds:datastoreItem xmlns:ds="http://schemas.openxmlformats.org/officeDocument/2006/customXml" ds:itemID="{5C63D837-C15B-4B78-A785-B648B23C275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9d6f49f-0971-4483-baf3-e749a31a233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Dickey</dc:creator>
  <cp:keywords/>
  <dc:description/>
  <cp:lastModifiedBy>Laura Dickey</cp:lastModifiedBy>
  <cp:revision>4</cp:revision>
  <dcterms:created xsi:type="dcterms:W3CDTF">2017-05-04T17:33:00Z</dcterms:created>
  <dcterms:modified xsi:type="dcterms:W3CDTF">2017-05-04T17:58:00Z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0x010100022D921D2239B047A047201EAF633849</vt:lpwstr>
  </property>
</Properties>
</file>